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 xml:space="preserve"> </w:t>
      </w:r>
    </w:p>
    <w:p>
      <w:pPr>
        <w:jc w:val="center"/>
        <w:rPr>
          <w:rFonts w:hint="eastAsia" w:ascii="宋体" w:hAnsi="宋体" w:eastAsia="宋体" w:cs="宋体"/>
          <w:b/>
          <w:sz w:val="32"/>
          <w:szCs w:val="32"/>
        </w:rPr>
      </w:pPr>
      <w:r>
        <w:rPr>
          <w:rFonts w:hint="eastAsia" w:ascii="宋体" w:hAnsi="宋体" w:eastAsia="宋体" w:cs="宋体"/>
          <w:b/>
          <w:sz w:val="32"/>
          <w:szCs w:val="32"/>
        </w:rPr>
        <w:t>正荣公益基金会现金管理规定</w:t>
      </w:r>
    </w:p>
    <w:p>
      <w:pPr>
        <w:jc w:val="center"/>
        <w:rPr>
          <w:rFonts w:hint="eastAsia" w:ascii="宋体" w:hAnsi="宋体" w:eastAsia="宋体" w:cs="宋体"/>
          <w:b/>
          <w:sz w:val="32"/>
          <w:szCs w:val="32"/>
        </w:rPr>
      </w:pPr>
    </w:p>
    <w:p>
      <w:pPr>
        <w:pStyle w:val="15"/>
        <w:numPr>
          <w:ilvl w:val="0"/>
          <w:numId w:val="1"/>
        </w:numPr>
        <w:spacing w:line="360" w:lineRule="auto"/>
        <w:ind w:firstLineChars="0"/>
        <w:jc w:val="center"/>
        <w:rPr>
          <w:rFonts w:hint="eastAsia" w:ascii="宋体" w:hAnsi="宋体" w:eastAsia="宋体" w:cs="宋体"/>
          <w:b/>
          <w:sz w:val="24"/>
          <w:szCs w:val="24"/>
        </w:rPr>
      </w:pPr>
      <w:r>
        <w:rPr>
          <w:rFonts w:hint="eastAsia" w:ascii="宋体" w:hAnsi="宋体" w:eastAsia="宋体" w:cs="宋体"/>
          <w:b/>
          <w:sz w:val="24"/>
          <w:szCs w:val="24"/>
        </w:rPr>
        <w:t xml:space="preserve"> 总则</w:t>
      </w:r>
    </w:p>
    <w:p>
      <w:pPr>
        <w:spacing w:line="360" w:lineRule="auto"/>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第一条</w:t>
      </w:r>
      <w:r>
        <w:rPr>
          <w:rFonts w:hint="eastAsia" w:ascii="宋体" w:hAnsi="宋体" w:eastAsia="宋体" w:cs="宋体"/>
          <w:sz w:val="24"/>
          <w:szCs w:val="24"/>
        </w:rPr>
        <w:t xml:space="preserve"> 为规范基金会的现金管理，加强财务监督，根据国家财经法规以及基金会的业务特征，制定本现金管理规定。</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第二条</w:t>
      </w:r>
      <w:r>
        <w:rPr>
          <w:rFonts w:hint="eastAsia" w:ascii="宋体" w:hAnsi="宋体" w:eastAsia="宋体" w:cs="宋体"/>
          <w:sz w:val="24"/>
          <w:szCs w:val="24"/>
        </w:rPr>
        <w:t xml:space="preserve"> 本规定所指“现金”包括以下几个方面：库存现金、已开支未入账报销单，包含员工备用金及其他现金等价物（如短期金融理财产品等）。并不包括银行账户存放的货币资金。</w:t>
      </w:r>
      <w:bookmarkStart w:id="0" w:name="_GoBack"/>
      <w:bookmarkEnd w:id="0"/>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第三条 </w:t>
      </w:r>
      <w:r>
        <w:rPr>
          <w:rFonts w:hint="eastAsia" w:ascii="宋体" w:hAnsi="宋体" w:eastAsia="宋体" w:cs="宋体"/>
          <w:sz w:val="24"/>
          <w:szCs w:val="24"/>
        </w:rPr>
        <w:t>本规定包括：管理原则、内容和使用、收支管理办法、库存现金管理、保险柜管理、监督机制、管理责任。</w:t>
      </w:r>
    </w:p>
    <w:p>
      <w:pPr>
        <w:spacing w:line="360" w:lineRule="auto"/>
        <w:rPr>
          <w:rFonts w:hint="eastAsia" w:ascii="宋体" w:hAnsi="宋体" w:eastAsia="宋体" w:cs="宋体"/>
          <w:sz w:val="24"/>
          <w:szCs w:val="24"/>
        </w:rPr>
      </w:pPr>
    </w:p>
    <w:p>
      <w:pPr>
        <w:pStyle w:val="15"/>
        <w:numPr>
          <w:ilvl w:val="0"/>
          <w:numId w:val="1"/>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现金管理原则</w:t>
      </w:r>
    </w:p>
    <w:p>
      <w:pPr>
        <w:spacing w:line="360" w:lineRule="auto"/>
        <w:ind w:firstLine="480" w:firstLineChars="200"/>
        <w:rPr>
          <w:rFonts w:hint="eastAsia" w:ascii="宋体" w:hAnsi="宋体" w:eastAsia="宋体" w:cs="宋体"/>
          <w:bCs/>
          <w:sz w:val="24"/>
        </w:rPr>
      </w:pPr>
    </w:p>
    <w:p>
      <w:pPr>
        <w:spacing w:line="360" w:lineRule="auto"/>
        <w:ind w:firstLine="482" w:firstLineChars="200"/>
        <w:rPr>
          <w:rFonts w:hint="eastAsia" w:ascii="宋体" w:hAnsi="宋体" w:eastAsia="宋体" w:cs="宋体"/>
          <w:bCs/>
          <w:sz w:val="24"/>
        </w:rPr>
      </w:pPr>
      <w:r>
        <w:rPr>
          <w:rFonts w:hint="eastAsia" w:ascii="宋体" w:hAnsi="宋体" w:eastAsia="宋体" w:cs="宋体"/>
          <w:b/>
          <w:bCs/>
          <w:sz w:val="24"/>
        </w:rPr>
        <w:t xml:space="preserve">第四条 </w:t>
      </w:r>
      <w:r>
        <w:rPr>
          <w:rFonts w:hint="eastAsia" w:ascii="宋体" w:hAnsi="宋体" w:eastAsia="宋体" w:cs="宋体"/>
          <w:bCs/>
          <w:sz w:val="24"/>
        </w:rPr>
        <w:t>基金会的现金管理应遵循不相容岗位分离原则（即会计员与出纳员不能由同一人担任）。</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第五条</w:t>
      </w:r>
      <w:r>
        <w:rPr>
          <w:rFonts w:hint="eastAsia" w:ascii="宋体" w:hAnsi="宋体" w:eastAsia="宋体" w:cs="宋体"/>
          <w:sz w:val="24"/>
        </w:rPr>
        <w:t xml:space="preserve"> 出纳员除登记现金日记账外，不得兼管稽核、会计档案保管，不得负责会计凭证编制及收入、费用、债权与债务账目的登记工作。</w:t>
      </w:r>
    </w:p>
    <w:p>
      <w:pPr>
        <w:spacing w:line="360" w:lineRule="auto"/>
        <w:ind w:firstLine="480" w:firstLineChars="200"/>
        <w:rPr>
          <w:rFonts w:hint="eastAsia" w:ascii="宋体" w:hAnsi="宋体" w:eastAsia="宋体" w:cs="宋体"/>
          <w:sz w:val="24"/>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第三章 现金支付使用范围</w:t>
      </w:r>
    </w:p>
    <w:p>
      <w:pPr>
        <w:spacing w:line="360" w:lineRule="auto"/>
        <w:ind w:firstLine="482" w:firstLineChars="200"/>
        <w:rPr>
          <w:rFonts w:hint="eastAsia" w:ascii="宋体" w:hAnsi="宋体" w:eastAsia="宋体" w:cs="宋体"/>
          <w:b/>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第六条</w:t>
      </w:r>
      <w:r>
        <w:rPr>
          <w:rFonts w:hint="eastAsia" w:ascii="宋体" w:hAnsi="宋体" w:eastAsia="宋体" w:cs="宋体"/>
          <w:sz w:val="24"/>
        </w:rPr>
        <w:t xml:space="preserve"> 现金支付使用范围</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除下列情况可以用现金支付外，其他款项的支付应通过银行转账结算。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（一）员工工资、福利、津贴；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（二）临时采购小额办公物资。（结算额</w:t>
      </w:r>
      <w:r>
        <w:rPr>
          <w:rFonts w:hint="eastAsia" w:ascii="宋体" w:hAnsi="宋体" w:eastAsia="宋体" w:cs="宋体"/>
          <w:color w:val="000000" w:themeColor="text1"/>
          <w:sz w:val="24"/>
        </w:rPr>
        <w:t>低于5</w:t>
      </w:r>
      <w:r>
        <w:rPr>
          <w:rFonts w:hint="eastAsia" w:ascii="宋体" w:hAnsi="宋体" w:eastAsia="宋体" w:cs="宋体"/>
          <w:color w:val="000000" w:themeColor="text1"/>
          <w:sz w:val="24"/>
        </w:rPr>
        <w:t>000</w:t>
      </w:r>
      <w:r>
        <w:rPr>
          <w:rFonts w:hint="eastAsia" w:ascii="宋体" w:hAnsi="宋体" w:eastAsia="宋体" w:cs="宋体"/>
          <w:sz w:val="24"/>
        </w:rPr>
        <w:t>元）；</w:t>
      </w:r>
    </w:p>
    <w:p>
      <w:pPr>
        <w:pStyle w:val="15"/>
        <w:numPr>
          <w:ilvl w:val="0"/>
          <w:numId w:val="2"/>
        </w:numPr>
        <w:spacing w:line="360" w:lineRule="auto"/>
        <w:ind w:firstLineChars="0"/>
        <w:rPr>
          <w:rFonts w:hint="eastAsia" w:ascii="宋体" w:hAnsi="宋体" w:eastAsia="宋体" w:cs="宋体"/>
          <w:sz w:val="24"/>
        </w:rPr>
      </w:pPr>
      <w:r>
        <w:rPr>
          <w:rFonts w:hint="eastAsia" w:ascii="宋体" w:hAnsi="宋体" w:eastAsia="宋体" w:cs="宋体"/>
          <w:sz w:val="24"/>
        </w:rPr>
        <w:t>差旅费、招待费、业务费；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（四）其他结算起点（20</w:t>
      </w:r>
      <w:r>
        <w:rPr>
          <w:rFonts w:hint="eastAsia" w:ascii="宋体" w:hAnsi="宋体" w:eastAsia="宋体" w:cs="宋体"/>
          <w:sz w:val="24"/>
        </w:rPr>
        <w:t>00</w:t>
      </w:r>
      <w:r>
        <w:rPr>
          <w:rFonts w:hint="eastAsia" w:ascii="宋体" w:hAnsi="宋体" w:eastAsia="宋体" w:cs="宋体"/>
          <w:sz w:val="24"/>
        </w:rPr>
        <w:t>元人民币）以下的零星办公费用支出；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（五）</w:t>
      </w:r>
      <w:r>
        <w:rPr>
          <w:rFonts w:hint="eastAsia" w:ascii="宋体" w:hAnsi="宋体" w:eastAsia="宋体" w:cs="宋体"/>
          <w:color w:val="000000" w:themeColor="text1"/>
          <w:sz w:val="24"/>
        </w:rPr>
        <w:t>员工临时小额借款（2000元人民币以内）。</w:t>
      </w:r>
      <w:r>
        <w:rPr>
          <w:rFonts w:hint="eastAsia" w:ascii="宋体" w:hAnsi="宋体" w:eastAsia="宋体" w:cs="宋体"/>
          <w:sz w:val="24"/>
        </w:rPr>
        <w:br w:type="textWrapping"/>
      </w:r>
      <w:r>
        <w:rPr>
          <w:rFonts w:hint="eastAsia" w:ascii="宋体" w:hAnsi="宋体" w:eastAsia="宋体" w:cs="宋体"/>
          <w:sz w:val="24"/>
        </w:rPr>
        <w:t>　　　</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第四章 现金收支管理办法</w:t>
      </w:r>
    </w:p>
    <w:p>
      <w:pPr>
        <w:spacing w:line="360" w:lineRule="auto"/>
        <w:rPr>
          <w:rFonts w:hint="eastAsia" w:ascii="宋体" w:hAnsi="宋体" w:eastAsia="宋体" w:cs="宋体"/>
          <w:b/>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第七条</w:t>
      </w:r>
      <w:r>
        <w:rPr>
          <w:rFonts w:hint="eastAsia" w:ascii="宋体" w:hAnsi="宋体" w:eastAsia="宋体" w:cs="宋体"/>
          <w:sz w:val="24"/>
        </w:rPr>
        <w:t xml:space="preserve"> </w:t>
      </w:r>
      <w:r>
        <w:rPr>
          <w:rFonts w:hint="eastAsia" w:ascii="宋体" w:hAnsi="宋体" w:eastAsia="宋体" w:cs="宋体"/>
          <w:sz w:val="24"/>
        </w:rPr>
        <w:t>现金支付</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请款经办人或费用报销人在办理好相关的审批手续后，出纳认真审核相关审批单原件无误后支付款项，支付后在审批单封面加盖“现金付讫”章（现金支付的还必须加盖“现金领款人签字”章，由现金领款人签字）。</w:t>
      </w:r>
    </w:p>
    <w:p>
      <w:pPr>
        <w:spacing w:line="360" w:lineRule="auto"/>
        <w:ind w:firstLine="480" w:firstLineChars="200"/>
        <w:rPr>
          <w:rFonts w:hint="eastAsia" w:ascii="宋体" w:hAnsi="宋体" w:eastAsia="宋体" w:cs="宋体"/>
          <w:color w:val="000000" w:themeColor="text1"/>
          <w:sz w:val="24"/>
        </w:rPr>
      </w:pPr>
      <w:r>
        <w:rPr>
          <w:rFonts w:hint="eastAsia" w:ascii="宋体" w:hAnsi="宋体" w:eastAsia="宋体" w:cs="宋体"/>
          <w:color w:val="000000" w:themeColor="text1"/>
          <w:sz w:val="24"/>
        </w:rPr>
        <w:t>如遇领导不在，急需付款而手续又无法办理齐全时，可由财务人员电话、短信、微信等请示领导后先行付款，事后及时补办书面审批手续(需在审批单上备注请示方式及批示结果)。</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第八条</w:t>
      </w:r>
      <w:r>
        <w:rPr>
          <w:rFonts w:hint="eastAsia" w:ascii="宋体" w:hAnsi="宋体" w:eastAsia="宋体" w:cs="宋体"/>
          <w:sz w:val="24"/>
        </w:rPr>
        <w:t xml:space="preserve"> 现金收入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出纳人员收取现金后开具收款收据，收款收据由出纳加盖“现金收讫”章并由会计人员盖“财务专用章”后，出纳应即时将收款收据的“收据联”交给缴款人，将“记账联”交给会计人员，会计人员收到记账联后应及时制作记账凭证。现金收据的相关管理请参见《正荣基金会票据管理规定》。</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第九条</w:t>
      </w:r>
      <w:r>
        <w:rPr>
          <w:rFonts w:hint="eastAsia" w:ascii="宋体" w:hAnsi="宋体" w:eastAsia="宋体" w:cs="宋体"/>
          <w:sz w:val="24"/>
        </w:rPr>
        <w:t xml:space="preserve"> 日清月结</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出纳员办理现金业务，必须做到按日清理，按月结账。出纳员应于每工作日结束后对当日的经济业务进行清理，全部登记现金日记账，结出库存现金账面余额，并与现金实地盘点数核对相符。按日清理的内容包括：</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1、清理各种现金收付款凭证，检查各种收付凭证与所附原始凭证反映的内容是否相符。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2、登记和清理日记账，将当日发生的所有现金收付款业务全部登记入账，现金日记账所登记的内容、金额与收、付款凭证的内容、金额要一致，清理完毕，结出当日库存现金账面余额。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3、现金盘点，要求按券别分别清点其数量，然后加总，得出当日现金的实存数，将实存数与账面余额进行核对，两者是否相符，如发现长款或短款，应查明原因及时处理。</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第十条</w:t>
      </w:r>
      <w:r>
        <w:rPr>
          <w:rFonts w:hint="eastAsia" w:ascii="宋体" w:hAnsi="宋体" w:eastAsia="宋体" w:cs="宋体"/>
          <w:sz w:val="24"/>
        </w:rPr>
        <w:t xml:space="preserve"> </w:t>
      </w:r>
      <w:r>
        <w:rPr>
          <w:rFonts w:hint="eastAsia" w:ascii="宋体" w:hAnsi="宋体" w:eastAsia="宋体" w:cs="宋体"/>
          <w:sz w:val="24"/>
        </w:rPr>
        <w:t>临时公务借款管理</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1、基金会工作人员不得产生非因公借款，</w:t>
      </w:r>
      <w:r>
        <w:rPr>
          <w:rFonts w:hint="eastAsia" w:ascii="宋体" w:hAnsi="宋体" w:eastAsia="宋体" w:cs="宋体"/>
          <w:color w:val="000000" w:themeColor="text1"/>
          <w:sz w:val="24"/>
        </w:rPr>
        <w:t>试用期员工不得借款。</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2、借支时：借款人持审批手续完整的借款单由出纳加盖“现金付讫”章后支付借支款项，</w:t>
      </w:r>
      <w:r>
        <w:rPr>
          <w:rFonts w:hint="eastAsia" w:ascii="宋体" w:hAnsi="宋体" w:eastAsia="宋体" w:cs="宋体"/>
          <w:color w:val="000000" w:themeColor="text1"/>
          <w:sz w:val="24"/>
        </w:rPr>
        <w:t>所借款项不得转入借款人信用卡，以免基金会财产受损。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3、报销冲账或归还时：临时公务借款必需在公务完结后及时办理费用报销手续。</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第十一条</w:t>
      </w:r>
      <w:r>
        <w:rPr>
          <w:rFonts w:hint="eastAsia" w:ascii="宋体" w:hAnsi="宋体" w:eastAsia="宋体" w:cs="宋体"/>
          <w:sz w:val="24"/>
        </w:rPr>
        <w:t xml:space="preserve"> 有价证券或其他货币性资产管理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rPr>
        <w:t>交易性金融资产：指以基金会出资购买以基金会名义或以基金会授权的个人名义持有的可以随时变现的交易性金融资产，如基金、股票、黄金、外汇、期货、随时可退的理财型保险等。在变现之前不得作现金抵库，必须入账按规定进行会计账务处理，并按会计法相关规定核算投资损益，另将票证妥善保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rPr>
        <w:t>其他重要票证：除上述</w:t>
      </w:r>
      <w:r>
        <w:rPr>
          <w:rFonts w:hint="eastAsia" w:ascii="宋体" w:hAnsi="宋体" w:eastAsia="宋体" w:cs="宋体"/>
          <w:sz w:val="24"/>
        </w:rPr>
        <w:t>2</w:t>
      </w:r>
      <w:r>
        <w:rPr>
          <w:rFonts w:hint="eastAsia" w:ascii="宋体" w:hAnsi="宋体" w:eastAsia="宋体" w:cs="宋体"/>
          <w:sz w:val="24"/>
        </w:rPr>
        <w:t>种有价证券之外的其他重要票证，如银行承兑汇票、商业承汇票、定期存单等，应及时入账核算，另将票证妥善保存。</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第十二条</w:t>
      </w:r>
      <w:r>
        <w:rPr>
          <w:rFonts w:hint="eastAsia" w:ascii="宋体" w:hAnsi="宋体" w:eastAsia="宋体" w:cs="宋体"/>
          <w:sz w:val="24"/>
        </w:rPr>
        <w:t xml:space="preserve"> 出纳代理人规定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如遇出纳人员连续请假或出差一个工作日以上，财务负责人应指派其他财务人员暂时代理出纳职责。</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1、代理出纳人员需保留部分现金备用的，由财务负责人估算暂代期间需应急备用的现金数额，由出纳代理人以临时借款方式向出纳人员借用现金，出纳不得将全部现金、保险柜、出纳存折及密码等交由出纳代理人使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2、出纳代理人在代理出纳岗位期间的产生的工作差错参照本规定第二十三条下相关规定由代理人承担。</w:t>
      </w:r>
    </w:p>
    <w:p>
      <w:pPr>
        <w:spacing w:line="360" w:lineRule="auto"/>
        <w:rPr>
          <w:rFonts w:hint="eastAsia" w:ascii="宋体" w:hAnsi="宋体" w:eastAsia="宋体" w:cs="宋体"/>
          <w:b/>
          <w:sz w:val="24"/>
        </w:rPr>
      </w:pP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第五章 库存现金管理</w:t>
      </w:r>
    </w:p>
    <w:p>
      <w:pPr>
        <w:spacing w:line="360" w:lineRule="auto"/>
        <w:ind w:firstLine="482" w:firstLineChars="200"/>
        <w:rPr>
          <w:rFonts w:hint="eastAsia" w:ascii="宋体" w:hAnsi="宋体" w:eastAsia="宋体" w:cs="宋体"/>
          <w:b/>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第十三条</w:t>
      </w:r>
      <w:r>
        <w:rPr>
          <w:rFonts w:hint="eastAsia" w:ascii="宋体" w:hAnsi="宋体" w:eastAsia="宋体" w:cs="宋体"/>
          <w:bCs/>
          <w:sz w:val="24"/>
        </w:rPr>
        <w:t xml:space="preserve"> </w:t>
      </w:r>
      <w:r>
        <w:rPr>
          <w:rFonts w:hint="eastAsia" w:ascii="宋体" w:hAnsi="宋体" w:eastAsia="宋体" w:cs="宋体"/>
          <w:sz w:val="24"/>
        </w:rPr>
        <w:t>对于大额库存现金，出纳员应在下班前送存银行。</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第十四条</w:t>
      </w:r>
      <w:r>
        <w:rPr>
          <w:rFonts w:hint="eastAsia" w:ascii="宋体" w:hAnsi="宋体" w:eastAsia="宋体" w:cs="宋体"/>
          <w:bCs/>
          <w:sz w:val="24"/>
        </w:rPr>
        <w:t xml:space="preserve"> </w:t>
      </w:r>
      <w:r>
        <w:rPr>
          <w:rFonts w:hint="eastAsia" w:ascii="宋体" w:hAnsi="宋体" w:eastAsia="宋体" w:cs="宋体"/>
          <w:sz w:val="24"/>
        </w:rPr>
        <w:t>特殊情况需要超限额储存现金或因故来不及缴存银行的，应报财务负责人审批，同时应采取切实有效的安全保卫措施，确保库存现金安全。</w:t>
      </w:r>
    </w:p>
    <w:p>
      <w:pPr>
        <w:spacing w:line="360" w:lineRule="auto"/>
        <w:ind w:firstLine="562" w:firstLineChars="200"/>
        <w:rPr>
          <w:rFonts w:hint="eastAsia" w:ascii="宋体" w:hAnsi="宋体" w:eastAsia="宋体" w:cs="宋体"/>
          <w:b/>
          <w:sz w:val="28"/>
          <w:szCs w:val="28"/>
        </w:rPr>
      </w:pPr>
    </w:p>
    <w:p>
      <w:pPr>
        <w:pStyle w:val="15"/>
        <w:numPr>
          <w:ilvl w:val="0"/>
          <w:numId w:val="3"/>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保险柜管理</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第十五条</w:t>
      </w:r>
      <w:r>
        <w:rPr>
          <w:rFonts w:hint="eastAsia" w:ascii="宋体" w:hAnsi="宋体" w:eastAsia="宋体" w:cs="宋体"/>
          <w:sz w:val="24"/>
        </w:rPr>
        <w:t xml:space="preserve"> 基金会应配备专用保险柜，专门用于库存现金、有价证券、重要空白凭证及印章等的存放。</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第十六条</w:t>
      </w:r>
      <w:r>
        <w:rPr>
          <w:rFonts w:hint="eastAsia" w:ascii="宋体" w:hAnsi="宋体" w:eastAsia="宋体" w:cs="宋体"/>
          <w:sz w:val="24"/>
        </w:rPr>
        <w:t xml:space="preserve"> 基金会应加强对保险柜的使用管理：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1、保险柜钥匙的配备：保险柜一般配备一把钥匙，若有一把以上钥匙，由出纳员自行妥善保管。出纳员不能将保险柜钥匙交由他人代为保管。保险柜钥匙丢失，应及时换锁、更换密码。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2、保险柜密码管理：出纳员应将自身保管使用的保险柜密码严格保密，不得向他人泄露。出纳员岗位变动，新出纳员应更换使用新的密码。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3、保险柜存放地点：保险柜应存放在安全、隐蔽的室内。</w:t>
      </w:r>
    </w:p>
    <w:p>
      <w:pPr>
        <w:spacing w:line="360" w:lineRule="auto"/>
        <w:ind w:firstLine="480" w:firstLineChars="200"/>
        <w:rPr>
          <w:rFonts w:hint="eastAsia" w:ascii="宋体" w:hAnsi="宋体" w:eastAsia="宋体" w:cs="宋体"/>
          <w:sz w:val="24"/>
        </w:rPr>
      </w:pPr>
    </w:p>
    <w:p>
      <w:pPr>
        <w:pStyle w:val="15"/>
        <w:numPr>
          <w:ilvl w:val="0"/>
          <w:numId w:val="3"/>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现金监督检查机制</w:t>
      </w:r>
    </w:p>
    <w:p>
      <w:pPr>
        <w:spacing w:line="360" w:lineRule="auto"/>
        <w:rPr>
          <w:rFonts w:hint="eastAsia" w:ascii="宋体" w:hAnsi="宋体" w:eastAsia="宋体" w:cs="宋体"/>
          <w:b/>
          <w:bCs/>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 xml:space="preserve">第十七条 </w:t>
      </w:r>
      <w:r>
        <w:rPr>
          <w:rFonts w:hint="eastAsia" w:ascii="宋体" w:hAnsi="宋体" w:eastAsia="宋体" w:cs="宋体"/>
          <w:sz w:val="24"/>
        </w:rPr>
        <w:t>基金会内自查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为确保库存现金安全，基金会应建立库存现金清查制度，清查制度应至少涵盖以下方面：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1、每周移交收支凭证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出纳人员在每周五下班前将本周已收已支凭证移交会计人员。</w:t>
      </w:r>
    </w:p>
    <w:p>
      <w:pPr>
        <w:pStyle w:val="15"/>
        <w:numPr>
          <w:ilvl w:val="0"/>
          <w:numId w:val="4"/>
        </w:numPr>
        <w:spacing w:line="360" w:lineRule="auto"/>
        <w:ind w:firstLineChars="0"/>
        <w:rPr>
          <w:rFonts w:hint="eastAsia" w:ascii="宋体" w:hAnsi="宋体" w:eastAsia="宋体" w:cs="宋体"/>
          <w:sz w:val="24"/>
        </w:rPr>
      </w:pPr>
      <w:r>
        <w:rPr>
          <w:rFonts w:hint="eastAsia" w:ascii="宋体" w:hAnsi="宋体" w:eastAsia="宋体" w:cs="宋体"/>
          <w:sz w:val="24"/>
        </w:rPr>
        <w:t>每月末定期核对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出纳人员在</w:t>
      </w:r>
      <w:r>
        <w:rPr>
          <w:rFonts w:hint="eastAsia" w:ascii="宋体" w:hAnsi="宋体" w:eastAsia="宋体" w:cs="宋体"/>
          <w:color w:val="000000" w:themeColor="text1"/>
          <w:sz w:val="24"/>
        </w:rPr>
        <w:t>月末最后一个工作日下班前</w:t>
      </w:r>
      <w:r>
        <w:rPr>
          <w:rFonts w:hint="eastAsia" w:ascii="宋体" w:hAnsi="宋体" w:eastAsia="宋体" w:cs="宋体"/>
          <w:sz w:val="24"/>
        </w:rPr>
        <w:t>会同会计人员进行现金核对。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3、财务负责人抽查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由财务负责人每月定期或不定期对库存现金情况进行清查盘点。</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 xml:space="preserve">第十八条 </w:t>
      </w:r>
      <w:r>
        <w:rPr>
          <w:rFonts w:hint="eastAsia" w:ascii="宋体" w:hAnsi="宋体" w:eastAsia="宋体" w:cs="宋体"/>
          <w:sz w:val="24"/>
        </w:rPr>
        <w:t>现金盘点重点关注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检查账实是否相符、有无白条抵库、违规私借公款以及挪用公款等问题。</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 xml:space="preserve">第十九条 </w:t>
      </w:r>
      <w:r>
        <w:rPr>
          <w:rFonts w:hint="eastAsia" w:ascii="宋体" w:hAnsi="宋体" w:eastAsia="宋体" w:cs="宋体"/>
          <w:sz w:val="24"/>
        </w:rPr>
        <w:t>盘点应填列表单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清查人员清查结束后，如遇账款不一致时，应填制“现金盘点表”（格式见附件一）、“借条盘点表”（格式见附件二），并将盘点结果报送上级领导，如有长、短款，还应填列“现金盘盈</w:t>
      </w:r>
      <w:r>
        <w:rPr>
          <w:rFonts w:hint="eastAsia" w:ascii="宋体" w:hAnsi="宋体" w:eastAsia="宋体" w:cs="宋体"/>
          <w:sz w:val="24"/>
        </w:rPr>
        <w:t>/</w:t>
      </w:r>
      <w:r>
        <w:rPr>
          <w:rFonts w:hint="eastAsia" w:ascii="宋体" w:hAnsi="宋体" w:eastAsia="宋体" w:cs="宋体"/>
          <w:sz w:val="24"/>
        </w:rPr>
        <w:t>盘亏处理审批表”（格式见附表三）。遇账款不一致的现金盘点表须出纳、会计、财务负责人签字后报送基金会秘书长。</w:t>
      </w:r>
    </w:p>
    <w:p>
      <w:pPr>
        <w:spacing w:line="360" w:lineRule="auto"/>
        <w:ind w:firstLine="480" w:firstLineChars="200"/>
        <w:rPr>
          <w:rFonts w:hint="eastAsia" w:ascii="宋体" w:hAnsi="宋体" w:eastAsia="宋体" w:cs="宋体"/>
          <w:sz w:val="24"/>
        </w:rPr>
      </w:pPr>
    </w:p>
    <w:p>
      <w:pPr>
        <w:pStyle w:val="15"/>
        <w:numPr>
          <w:ilvl w:val="0"/>
          <w:numId w:val="3"/>
        </w:numPr>
        <w:spacing w:line="360" w:lineRule="auto"/>
        <w:ind w:firstLineChars="0"/>
        <w:jc w:val="center"/>
        <w:rPr>
          <w:rFonts w:hint="eastAsia" w:ascii="宋体" w:hAnsi="宋体" w:eastAsia="宋体" w:cs="宋体"/>
          <w:b/>
          <w:sz w:val="28"/>
          <w:szCs w:val="28"/>
        </w:rPr>
      </w:pPr>
      <w:r>
        <w:rPr>
          <w:rFonts w:hint="eastAsia" w:ascii="宋体" w:hAnsi="宋体" w:eastAsia="宋体" w:cs="宋体"/>
          <w:b/>
          <w:sz w:val="28"/>
          <w:szCs w:val="28"/>
        </w:rPr>
        <w:t xml:space="preserve"> 管理责任</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第二十条</w:t>
      </w:r>
      <w:r>
        <w:rPr>
          <w:rFonts w:hint="eastAsia" w:ascii="宋体" w:hAnsi="宋体" w:eastAsia="宋体" w:cs="宋体"/>
          <w:sz w:val="24"/>
        </w:rPr>
        <w:t xml:space="preserve"> 若发生现金损失，应分清人为责任性差错或事故性、技术性差错，分别不同情况加以处理。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1、对于出纳员违反纪律，对</w:t>
      </w:r>
      <w:r>
        <w:rPr>
          <w:rFonts w:hint="eastAsia" w:ascii="宋体" w:hAnsi="宋体" w:eastAsia="宋体" w:cs="宋体"/>
          <w:color w:val="000000" w:themeColor="text1"/>
          <w:sz w:val="24"/>
        </w:rPr>
        <w:t>未经审批、审批手续不完整的支付款项，</w:t>
      </w:r>
      <w:r>
        <w:rPr>
          <w:rFonts w:hint="eastAsia" w:ascii="宋体" w:hAnsi="宋体" w:eastAsia="宋体" w:cs="宋体"/>
          <w:sz w:val="24"/>
        </w:rPr>
        <w:t>给基金会造成经济损失的应赔偿相关损失，并视情节轻重对其进行行政处分，情节严重的可依法追究其法律责任。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2、对于因出纳员工作不认真等技术性差错造成的短款、收取假钞等，无论金额多少，全额由出纳员赔偿，并要对其加强教育，必要时可将其调离出纳岗位或解聘。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对于出纳员玩忽职守，违反纪律、规章制度造成重大责任性损失，出纳员除应承担全额赔偿责任外，还应对其进行经济处罚与行政处分，财务负责人、分管领导负连带管理责任，视情节轻重对其进行经济处罚与行政处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4、对于出纳员监守自盗或内外勾结侵害基金会财物的职务侵占行为，除按本条第三款规定追究责任外，还应报请司法机关追究刑事责任。</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第二十一条</w:t>
      </w:r>
      <w:r>
        <w:rPr>
          <w:rFonts w:hint="eastAsia" w:ascii="宋体" w:hAnsi="宋体" w:eastAsia="宋体" w:cs="宋体"/>
          <w:sz w:val="24"/>
        </w:rPr>
        <w:t xml:space="preserve"> 现金保险柜被盗的处理。出纳员发现保险柜被盗后应保护好现场，迅速向公安机关报案。</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第二十二条</w:t>
      </w:r>
      <w:r>
        <w:rPr>
          <w:rFonts w:hint="eastAsia" w:ascii="宋体" w:hAnsi="宋体" w:eastAsia="宋体" w:cs="宋体"/>
          <w:sz w:val="24"/>
        </w:rPr>
        <w:t xml:space="preserve"> 发生现金损失的，出纳员应及时填报“现金盘盈</w:t>
      </w:r>
      <w:r>
        <w:rPr>
          <w:rFonts w:hint="eastAsia" w:ascii="宋体" w:hAnsi="宋体" w:eastAsia="宋体" w:cs="宋体"/>
          <w:sz w:val="24"/>
        </w:rPr>
        <w:t>/</w:t>
      </w:r>
      <w:r>
        <w:rPr>
          <w:rFonts w:hint="eastAsia" w:ascii="宋体" w:hAnsi="宋体" w:eastAsia="宋体" w:cs="宋体"/>
          <w:sz w:val="24"/>
        </w:rPr>
        <w:t>盘亏处理审批表”，逐级上报有关部门进行处理。</w:t>
      </w:r>
    </w:p>
    <w:p>
      <w:pPr>
        <w:spacing w:line="360" w:lineRule="auto"/>
        <w:ind w:firstLine="480" w:firstLineChars="200"/>
        <w:rPr>
          <w:rFonts w:hint="eastAsia" w:ascii="宋体" w:hAnsi="宋体" w:eastAsia="宋体" w:cs="宋体"/>
          <w:sz w:val="24"/>
        </w:rPr>
      </w:pPr>
    </w:p>
    <w:p>
      <w:pPr>
        <w:spacing w:line="336" w:lineRule="auto"/>
        <w:rPr>
          <w:rFonts w:hint="eastAsia" w:ascii="宋体" w:hAnsi="宋体" w:eastAsia="宋体" w:cs="宋体"/>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4"/>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附表一：</w:t>
      </w:r>
    </w:p>
    <w:p>
      <w:pPr>
        <w:spacing w:line="360" w:lineRule="auto"/>
        <w:jc w:val="left"/>
        <w:rPr>
          <w:rFonts w:hint="eastAsia" w:ascii="宋体" w:hAnsi="宋体" w:eastAsia="宋体" w:cs="宋体"/>
          <w:b/>
          <w:sz w:val="28"/>
          <w:szCs w:val="28"/>
        </w:rPr>
      </w:pPr>
    </w:p>
    <w:tbl>
      <w:tblPr>
        <w:tblStyle w:val="7"/>
        <w:tblW w:w="9086" w:type="dxa"/>
        <w:jc w:val="center"/>
        <w:tblInd w:w="-176" w:type="dxa"/>
        <w:tblLayout w:type="fixed"/>
        <w:tblCellMar>
          <w:top w:w="0" w:type="dxa"/>
          <w:left w:w="108" w:type="dxa"/>
          <w:bottom w:w="0" w:type="dxa"/>
          <w:right w:w="108" w:type="dxa"/>
        </w:tblCellMar>
      </w:tblPr>
      <w:tblGrid>
        <w:gridCol w:w="1884"/>
        <w:gridCol w:w="838"/>
        <w:gridCol w:w="222"/>
        <w:gridCol w:w="222"/>
        <w:gridCol w:w="512"/>
        <w:gridCol w:w="512"/>
        <w:gridCol w:w="512"/>
        <w:gridCol w:w="249"/>
        <w:gridCol w:w="167"/>
        <w:gridCol w:w="555"/>
        <w:gridCol w:w="416"/>
        <w:gridCol w:w="559"/>
        <w:gridCol w:w="1174"/>
        <w:gridCol w:w="1264"/>
      </w:tblGrid>
      <w:tr>
        <w:tblPrEx>
          <w:tblLayout w:type="fixed"/>
          <w:tblCellMar>
            <w:top w:w="0" w:type="dxa"/>
            <w:left w:w="108" w:type="dxa"/>
            <w:bottom w:w="0" w:type="dxa"/>
            <w:right w:w="108" w:type="dxa"/>
          </w:tblCellMar>
        </w:tblPrEx>
        <w:trPr>
          <w:trHeight w:val="268" w:hRule="atLeast"/>
          <w:jc w:val="center"/>
        </w:trPr>
        <w:tc>
          <w:tcPr>
            <w:tcW w:w="9086" w:type="dxa"/>
            <w:gridSpan w:val="14"/>
            <w:tcBorders>
              <w:top w:val="nil"/>
              <w:left w:val="nil"/>
              <w:bottom w:val="nil"/>
              <w:right w:val="nil"/>
            </w:tcBorders>
            <w:shd w:val="clear" w:color="auto" w:fill="auto"/>
            <w:noWrap/>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正荣公益基金会</w:t>
            </w:r>
          </w:p>
        </w:tc>
      </w:tr>
      <w:tr>
        <w:tblPrEx>
          <w:tblLayout w:type="fixed"/>
          <w:tblCellMar>
            <w:top w:w="0" w:type="dxa"/>
            <w:left w:w="108" w:type="dxa"/>
            <w:bottom w:w="0" w:type="dxa"/>
            <w:right w:w="108" w:type="dxa"/>
          </w:tblCellMar>
        </w:tblPrEx>
        <w:trPr>
          <w:trHeight w:val="1168" w:hRule="atLeast"/>
          <w:jc w:val="center"/>
        </w:trPr>
        <w:tc>
          <w:tcPr>
            <w:tcW w:w="9086" w:type="dxa"/>
            <w:gridSpan w:val="14"/>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b/>
                <w:kern w:val="0"/>
                <w:sz w:val="24"/>
                <w:szCs w:val="24"/>
              </w:rPr>
            </w:pPr>
            <w:r>
              <w:rPr>
                <w:rFonts w:hint="eastAsia" w:ascii="宋体" w:hAnsi="宋体" w:eastAsia="宋体" w:cs="宋体"/>
                <w:b/>
                <w:kern w:val="0"/>
                <w:sz w:val="24"/>
                <w:szCs w:val="24"/>
              </w:rPr>
              <w:t>库存现金盘点表</w:t>
            </w:r>
          </w:p>
        </w:tc>
      </w:tr>
      <w:tr>
        <w:tblPrEx>
          <w:tblLayout w:type="fixed"/>
          <w:tblCellMar>
            <w:top w:w="0" w:type="dxa"/>
            <w:left w:w="108" w:type="dxa"/>
            <w:bottom w:w="0" w:type="dxa"/>
            <w:right w:w="108" w:type="dxa"/>
          </w:tblCellMar>
        </w:tblPrEx>
        <w:trPr>
          <w:trHeight w:val="565" w:hRule="atLeast"/>
          <w:jc w:val="center"/>
        </w:trPr>
        <w:tc>
          <w:tcPr>
            <w:tcW w:w="294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单位名称</w:t>
            </w:r>
          </w:p>
        </w:tc>
        <w:tc>
          <w:tcPr>
            <w:tcW w:w="20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72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审   计   人</w:t>
            </w:r>
          </w:p>
        </w:tc>
        <w:tc>
          <w:tcPr>
            <w:tcW w:w="341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编表：                    日期：</w:t>
            </w:r>
          </w:p>
        </w:tc>
      </w:tr>
      <w:tr>
        <w:tblPrEx>
          <w:tblLayout w:type="fixed"/>
          <w:tblCellMar>
            <w:top w:w="0" w:type="dxa"/>
            <w:left w:w="108" w:type="dxa"/>
            <w:bottom w:w="0" w:type="dxa"/>
            <w:right w:w="108" w:type="dxa"/>
          </w:tblCellMar>
        </w:tblPrEx>
        <w:trPr>
          <w:trHeight w:val="559" w:hRule="atLeast"/>
          <w:jc w:val="center"/>
        </w:trPr>
        <w:tc>
          <w:tcPr>
            <w:tcW w:w="294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项目</w:t>
            </w:r>
          </w:p>
        </w:tc>
        <w:tc>
          <w:tcPr>
            <w:tcW w:w="20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现   金（       ）</w:t>
            </w:r>
          </w:p>
        </w:tc>
        <w:tc>
          <w:tcPr>
            <w:tcW w:w="7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0"/>
              </w:rPr>
            </w:pPr>
          </w:p>
        </w:tc>
        <w:tc>
          <w:tcPr>
            <w:tcW w:w="341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复核：                    日期：</w:t>
            </w:r>
          </w:p>
        </w:tc>
      </w:tr>
      <w:tr>
        <w:tblPrEx>
          <w:tblLayout w:type="fixed"/>
          <w:tblCellMar>
            <w:top w:w="0" w:type="dxa"/>
            <w:left w:w="108" w:type="dxa"/>
            <w:bottom w:w="0" w:type="dxa"/>
            <w:right w:w="108" w:type="dxa"/>
          </w:tblCellMar>
        </w:tblPrEx>
        <w:trPr>
          <w:trHeight w:val="256" w:hRule="atLeast"/>
          <w:jc w:val="center"/>
        </w:trPr>
        <w:tc>
          <w:tcPr>
            <w:tcW w:w="294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会计期间或截止日</w:t>
            </w:r>
          </w:p>
        </w:tc>
        <w:tc>
          <w:tcPr>
            <w:tcW w:w="200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年月日</w:t>
            </w:r>
          </w:p>
        </w:tc>
        <w:tc>
          <w:tcPr>
            <w:tcW w:w="113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索引号</w:t>
            </w:r>
          </w:p>
        </w:tc>
        <w:tc>
          <w:tcPr>
            <w:tcW w:w="5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页次</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527" w:hRule="atLeast"/>
          <w:jc w:val="center"/>
        </w:trPr>
        <w:tc>
          <w:tcPr>
            <w:tcW w:w="316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清  点  现  金</w:t>
            </w:r>
          </w:p>
        </w:tc>
        <w:tc>
          <w:tcPr>
            <w:tcW w:w="5920"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核      对      账      目</w:t>
            </w:r>
          </w:p>
        </w:tc>
      </w:tr>
      <w:tr>
        <w:tblPrEx>
          <w:tblLayout w:type="fixed"/>
          <w:tblCellMar>
            <w:top w:w="0" w:type="dxa"/>
            <w:left w:w="108" w:type="dxa"/>
            <w:bottom w:w="0" w:type="dxa"/>
            <w:right w:w="108" w:type="dxa"/>
          </w:tblCellMar>
        </w:tblPrEx>
        <w:trPr>
          <w:trHeight w:val="267"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货币面额</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张数</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金额</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年</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月</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日</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至</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年</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月</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日</w:t>
            </w:r>
          </w:p>
        </w:tc>
        <w:tc>
          <w:tcPr>
            <w:tcW w:w="11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项目</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金额</w:t>
            </w:r>
          </w:p>
        </w:tc>
      </w:tr>
      <w:tr>
        <w:tblPrEx>
          <w:tblLayout w:type="fixed"/>
          <w:tblCellMar>
            <w:top w:w="0" w:type="dxa"/>
            <w:left w:w="108" w:type="dxa"/>
            <w:bottom w:w="0" w:type="dxa"/>
            <w:right w:w="108" w:type="dxa"/>
          </w:tblCellMar>
        </w:tblPrEx>
        <w:trPr>
          <w:trHeight w:val="443"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100</w:t>
            </w:r>
            <w:r>
              <w:rPr>
                <w:rFonts w:hint="eastAsia" w:ascii="宋体" w:hAnsi="宋体" w:eastAsia="宋体" w:cs="宋体"/>
                <w:kern w:val="0"/>
                <w:sz w:val="20"/>
              </w:rPr>
              <w:t>元</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现金账面余额</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181"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50</w:t>
            </w:r>
            <w:r>
              <w:rPr>
                <w:rFonts w:hint="eastAsia" w:ascii="宋体" w:hAnsi="宋体" w:eastAsia="宋体" w:cs="宋体"/>
                <w:kern w:val="0"/>
                <w:sz w:val="20"/>
              </w:rPr>
              <w:t>元</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加：收入凭证未记账</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499"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10</w:t>
            </w:r>
            <w:r>
              <w:rPr>
                <w:rFonts w:hint="eastAsia" w:ascii="宋体" w:hAnsi="宋体" w:eastAsia="宋体" w:cs="宋体"/>
                <w:kern w:val="0"/>
                <w:sz w:val="20"/>
              </w:rPr>
              <w:t>元</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减：付出凭证未记账</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499"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5</w:t>
            </w:r>
            <w:r>
              <w:rPr>
                <w:rFonts w:hint="eastAsia" w:ascii="宋体" w:hAnsi="宋体" w:eastAsia="宋体" w:cs="宋体"/>
                <w:kern w:val="0"/>
                <w:sz w:val="20"/>
              </w:rPr>
              <w:t>元</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加：跨日收入</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356"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w:t>
            </w:r>
            <w:r>
              <w:rPr>
                <w:rFonts w:hint="eastAsia" w:ascii="宋体" w:hAnsi="宋体" w:eastAsia="宋体" w:cs="宋体"/>
                <w:kern w:val="0"/>
                <w:sz w:val="20"/>
              </w:rPr>
              <w:t>元</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减：跨日借条</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592"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5</w:t>
            </w:r>
            <w:r>
              <w:rPr>
                <w:rFonts w:hint="eastAsia" w:ascii="宋体" w:hAnsi="宋体" w:eastAsia="宋体" w:cs="宋体"/>
                <w:kern w:val="0"/>
                <w:sz w:val="20"/>
              </w:rPr>
              <w:t>角</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调整后现金余额</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557"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w:t>
            </w:r>
            <w:r>
              <w:rPr>
                <w:rFonts w:hint="eastAsia" w:ascii="宋体" w:hAnsi="宋体" w:eastAsia="宋体" w:cs="宋体"/>
                <w:kern w:val="0"/>
                <w:sz w:val="20"/>
              </w:rPr>
              <w:t>角</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实点现金</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552"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1</w:t>
            </w:r>
            <w:r>
              <w:rPr>
                <w:rFonts w:hint="eastAsia" w:ascii="宋体" w:hAnsi="宋体" w:eastAsia="宋体" w:cs="宋体"/>
                <w:kern w:val="0"/>
                <w:sz w:val="20"/>
              </w:rPr>
              <w:t>分</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20"/>
              </w:rPr>
            </w:pPr>
            <w:r>
              <w:rPr>
                <w:rFonts w:hint="eastAsia" w:ascii="宋体" w:hAnsi="宋体" w:eastAsia="宋体" w:cs="宋体"/>
                <w:kern w:val="0"/>
                <w:sz w:val="20"/>
              </w:rPr>
              <w:t>长款</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555" w:hRule="atLeast"/>
          <w:jc w:val="center"/>
        </w:trPr>
        <w:tc>
          <w:tcPr>
            <w:tcW w:w="18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实点</w:t>
            </w:r>
          </w:p>
        </w:tc>
        <w:tc>
          <w:tcPr>
            <w:tcW w:w="83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合计</w:t>
            </w:r>
          </w:p>
        </w:tc>
        <w:tc>
          <w:tcPr>
            <w:tcW w:w="4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1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55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c>
          <w:tcPr>
            <w:tcW w:w="117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短款</w:t>
            </w:r>
          </w:p>
        </w:tc>
        <w:tc>
          <w:tcPr>
            <w:tcW w:w="126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rPr>
            </w:pPr>
            <w:r>
              <w:rPr>
                <w:rFonts w:hint="eastAsia" w:ascii="宋体" w:hAnsi="宋体" w:eastAsia="宋体" w:cs="宋体"/>
                <w:kern w:val="0"/>
                <w:sz w:val="20"/>
              </w:rPr>
              <w:t>　</w:t>
            </w:r>
          </w:p>
        </w:tc>
      </w:tr>
      <w:tr>
        <w:tblPrEx>
          <w:tblLayout w:type="fixed"/>
          <w:tblCellMar>
            <w:top w:w="0" w:type="dxa"/>
            <w:left w:w="108" w:type="dxa"/>
            <w:bottom w:w="0" w:type="dxa"/>
            <w:right w:w="108" w:type="dxa"/>
          </w:tblCellMar>
        </w:tblPrEx>
        <w:trPr>
          <w:trHeight w:val="780" w:hRule="atLeast"/>
          <w:jc w:val="center"/>
        </w:trPr>
        <w:tc>
          <w:tcPr>
            <w:tcW w:w="2722" w:type="dxa"/>
            <w:gridSpan w:val="2"/>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基金会会计:</w:t>
            </w:r>
          </w:p>
        </w:tc>
        <w:tc>
          <w:tcPr>
            <w:tcW w:w="222" w:type="dxa"/>
            <w:tcBorders>
              <w:top w:val="nil"/>
              <w:left w:val="nil"/>
              <w:bottom w:val="nil"/>
              <w:right w:val="nil"/>
            </w:tcBorders>
            <w:shd w:val="clear" w:color="auto" w:fill="auto"/>
            <w:noWrap/>
            <w:vAlign w:val="center"/>
          </w:tcPr>
          <w:p>
            <w:pPr>
              <w:widowControl/>
              <w:jc w:val="center"/>
              <w:rPr>
                <w:rFonts w:hint="eastAsia" w:ascii="宋体" w:hAnsi="宋体" w:eastAsia="宋体" w:cs="宋体"/>
                <w:kern w:val="0"/>
                <w:sz w:val="20"/>
              </w:rPr>
            </w:pPr>
          </w:p>
        </w:tc>
        <w:tc>
          <w:tcPr>
            <w:tcW w:w="222" w:type="dxa"/>
            <w:tcBorders>
              <w:top w:val="nil"/>
              <w:left w:val="nil"/>
              <w:bottom w:val="nil"/>
              <w:right w:val="nil"/>
            </w:tcBorders>
            <w:shd w:val="clear" w:color="auto" w:fill="auto"/>
            <w:noWrap/>
            <w:vAlign w:val="center"/>
          </w:tcPr>
          <w:p>
            <w:pPr>
              <w:widowControl/>
              <w:jc w:val="center"/>
              <w:rPr>
                <w:rFonts w:hint="eastAsia" w:ascii="宋体" w:hAnsi="宋体" w:eastAsia="宋体" w:cs="宋体"/>
                <w:kern w:val="0"/>
                <w:sz w:val="20"/>
              </w:rPr>
            </w:pPr>
          </w:p>
        </w:tc>
        <w:tc>
          <w:tcPr>
            <w:tcW w:w="2923" w:type="dxa"/>
            <w:gridSpan w:val="7"/>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财务负责人:</w:t>
            </w:r>
          </w:p>
        </w:tc>
        <w:tc>
          <w:tcPr>
            <w:tcW w:w="559" w:type="dxa"/>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　</w:t>
            </w:r>
          </w:p>
        </w:tc>
        <w:tc>
          <w:tcPr>
            <w:tcW w:w="2438" w:type="dxa"/>
            <w:gridSpan w:val="2"/>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宋体"/>
                <w:kern w:val="0"/>
                <w:sz w:val="20"/>
              </w:rPr>
            </w:pPr>
            <w:r>
              <w:rPr>
                <w:rFonts w:hint="eastAsia" w:ascii="宋体" w:hAnsi="宋体" w:eastAsia="宋体" w:cs="宋体"/>
                <w:kern w:val="0"/>
                <w:sz w:val="20"/>
              </w:rPr>
              <w:t>基金会出纳员:</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8"/>
          <w:szCs w:val="28"/>
        </w:rPr>
      </w:pPr>
      <w:r>
        <w:rPr>
          <w:rFonts w:hint="eastAsia" w:ascii="宋体" w:hAnsi="宋体" w:eastAsia="宋体" w:cs="宋体"/>
          <w:b/>
          <w:sz w:val="28"/>
          <w:szCs w:val="28"/>
        </w:rPr>
        <w:t>附表二：</w:t>
      </w:r>
    </w:p>
    <w:p>
      <w:pPr>
        <w:spacing w:line="360" w:lineRule="auto"/>
        <w:rPr>
          <w:rFonts w:hint="eastAsia" w:ascii="宋体" w:hAnsi="宋体" w:eastAsia="宋体" w:cs="宋体"/>
          <w:b/>
          <w:sz w:val="28"/>
          <w:szCs w:val="28"/>
        </w:rPr>
      </w:pP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现金盘盈</w:t>
      </w:r>
      <w:r>
        <w:rPr>
          <w:rFonts w:hint="eastAsia" w:ascii="宋体" w:hAnsi="宋体" w:eastAsia="宋体" w:cs="宋体"/>
          <w:b/>
          <w:sz w:val="24"/>
          <w:szCs w:val="24"/>
        </w:rPr>
        <w:t>/</w:t>
      </w:r>
      <w:r>
        <w:rPr>
          <w:rFonts w:hint="eastAsia" w:ascii="宋体" w:hAnsi="宋体" w:eastAsia="宋体" w:cs="宋体"/>
          <w:b/>
          <w:sz w:val="24"/>
          <w:szCs w:val="24"/>
        </w:rPr>
        <w:t>盘亏处理审批表</w:t>
      </w:r>
    </w:p>
    <w:p>
      <w:pPr>
        <w:spacing w:line="360" w:lineRule="auto"/>
        <w:jc w:val="center"/>
        <w:rPr>
          <w:rFonts w:hint="eastAsia" w:ascii="宋体" w:hAnsi="宋体" w:eastAsia="宋体" w:cs="宋体"/>
          <w:b/>
          <w:sz w:val="24"/>
        </w:rPr>
      </w:pPr>
    </w:p>
    <w:p>
      <w:pPr>
        <w:spacing w:line="360" w:lineRule="auto"/>
        <w:ind w:firstLine="200" w:firstLineChars="100"/>
        <w:rPr>
          <w:rFonts w:hint="eastAsia" w:ascii="宋体" w:hAnsi="宋体" w:eastAsia="宋体" w:cs="宋体"/>
          <w:bCs/>
          <w:sz w:val="20"/>
          <w:szCs w:val="20"/>
        </w:rPr>
      </w:pPr>
      <w:r>
        <w:rPr>
          <w:rFonts w:hint="eastAsia" w:ascii="宋体" w:hAnsi="宋体" w:eastAsia="宋体" w:cs="宋体"/>
          <w:bCs/>
          <w:sz w:val="20"/>
          <w:szCs w:val="20"/>
        </w:rPr>
        <w:t>机构名称：                               年   月   日                     单位：元</w:t>
      </w:r>
    </w:p>
    <w:tbl>
      <w:tblPr>
        <w:tblStyle w:val="7"/>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8" w:type="dxa"/>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盘盈</w:t>
            </w:r>
            <w:r>
              <w:rPr>
                <w:rFonts w:hint="eastAsia" w:ascii="宋体" w:hAnsi="宋体" w:eastAsia="宋体" w:cs="宋体"/>
                <w:sz w:val="20"/>
                <w:szCs w:val="20"/>
              </w:rPr>
              <w:t>/</w:t>
            </w:r>
            <w:r>
              <w:rPr>
                <w:rFonts w:hint="eastAsia" w:ascii="宋体" w:hAnsi="宋体" w:eastAsia="宋体" w:cs="宋体"/>
                <w:sz w:val="20"/>
                <w:szCs w:val="20"/>
              </w:rPr>
              <w:t>盘亏金额</w:t>
            </w:r>
          </w:p>
        </w:tc>
        <w:tc>
          <w:tcPr>
            <w:tcW w:w="5844"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人民币：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8" w:type="dxa"/>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相关责任人</w:t>
            </w:r>
          </w:p>
        </w:tc>
        <w:tc>
          <w:tcPr>
            <w:tcW w:w="5844" w:type="dxa"/>
          </w:tcPr>
          <w:p>
            <w:pPr>
              <w:spacing w:line="360" w:lineRule="auto"/>
              <w:ind w:left="260" w:hanging="260" w:hangingChars="130"/>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2" w:type="dxa"/>
            <w:gridSpan w:val="2"/>
          </w:tcPr>
          <w:p>
            <w:pPr>
              <w:spacing w:line="360" w:lineRule="auto"/>
              <w:rPr>
                <w:rFonts w:hint="eastAsia" w:ascii="宋体" w:hAnsi="宋体" w:eastAsia="宋体" w:cs="宋体"/>
                <w:sz w:val="20"/>
                <w:szCs w:val="20"/>
              </w:rPr>
            </w:pPr>
            <w:r>
              <w:rPr>
                <w:rFonts w:hint="eastAsia" w:ascii="宋体" w:hAnsi="宋体" w:eastAsia="宋体" w:cs="宋体"/>
                <w:sz w:val="20"/>
                <w:szCs w:val="20"/>
              </w:rPr>
              <w:t>原因：</w:t>
            </w:r>
          </w:p>
          <w:p>
            <w:pPr>
              <w:spacing w:line="360" w:lineRule="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22" w:type="dxa"/>
            <w:gridSpan w:val="2"/>
          </w:tcPr>
          <w:p>
            <w:pPr>
              <w:spacing w:line="360" w:lineRule="auto"/>
              <w:rPr>
                <w:rFonts w:hint="eastAsia" w:ascii="宋体" w:hAnsi="宋体" w:eastAsia="宋体" w:cs="宋体"/>
                <w:sz w:val="20"/>
                <w:szCs w:val="20"/>
              </w:rPr>
            </w:pPr>
            <w:r>
              <w:rPr>
                <w:rFonts w:hint="eastAsia" w:ascii="宋体" w:hAnsi="宋体" w:eastAsia="宋体" w:cs="宋体"/>
                <w:sz w:val="20"/>
                <w:szCs w:val="20"/>
              </w:rPr>
              <w:t>财务部门意见：</w:t>
            </w:r>
          </w:p>
          <w:p>
            <w:pPr>
              <w:spacing w:line="360" w:lineRule="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8222" w:type="dxa"/>
            <w:gridSpan w:val="2"/>
          </w:tcPr>
          <w:p>
            <w:pPr>
              <w:spacing w:line="360" w:lineRule="auto"/>
              <w:rPr>
                <w:rFonts w:hint="eastAsia" w:ascii="宋体" w:hAnsi="宋体" w:eastAsia="宋体" w:cs="宋体"/>
                <w:sz w:val="20"/>
                <w:szCs w:val="20"/>
              </w:rPr>
            </w:pPr>
            <w:r>
              <w:rPr>
                <w:rFonts w:hint="eastAsia" w:ascii="宋体" w:hAnsi="宋体" w:eastAsia="宋体" w:cs="宋体"/>
                <w:sz w:val="20"/>
                <w:szCs w:val="20"/>
              </w:rPr>
              <w:t>基金会秘书长意见：</w:t>
            </w:r>
          </w:p>
          <w:p>
            <w:pPr>
              <w:spacing w:line="360" w:lineRule="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8222" w:type="dxa"/>
            <w:gridSpan w:val="2"/>
          </w:tcPr>
          <w:p>
            <w:pPr>
              <w:spacing w:line="360" w:lineRule="auto"/>
              <w:rPr>
                <w:rFonts w:hint="eastAsia" w:ascii="宋体" w:hAnsi="宋体" w:eastAsia="宋体" w:cs="宋体"/>
                <w:sz w:val="20"/>
                <w:szCs w:val="20"/>
              </w:rPr>
            </w:pPr>
            <w:r>
              <w:rPr>
                <w:rFonts w:hint="eastAsia" w:ascii="宋体" w:hAnsi="宋体" w:eastAsia="宋体" w:cs="宋体"/>
                <w:sz w:val="20"/>
                <w:szCs w:val="20"/>
              </w:rPr>
              <w:t>基金会理事长意见：</w:t>
            </w:r>
          </w:p>
          <w:p>
            <w:pPr>
              <w:spacing w:line="360" w:lineRule="auto"/>
              <w:rPr>
                <w:rFonts w:hint="eastAsia" w:ascii="宋体" w:hAnsi="宋体" w:eastAsia="宋体" w:cs="宋体"/>
                <w:sz w:val="20"/>
                <w:szCs w:val="20"/>
              </w:rPr>
            </w:pPr>
          </w:p>
        </w:tc>
      </w:tr>
    </w:tbl>
    <w:p>
      <w:pPr>
        <w:spacing w:line="360" w:lineRule="auto"/>
        <w:rPr>
          <w:rFonts w:hint="eastAsia" w:ascii="宋体" w:hAnsi="宋体" w:eastAsia="宋体" w:cs="宋体"/>
          <w:b/>
          <w:sz w:val="20"/>
          <w:szCs w:val="20"/>
        </w:rPr>
      </w:pPr>
    </w:p>
    <w:sectPr>
      <w:headerReference r:id="rId3" w:type="default"/>
      <w:footerReference r:id="rId4" w:type="default"/>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322374"/>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0" distR="0">
          <wp:extent cx="1089025" cy="314325"/>
          <wp:effectExtent l="0" t="0" r="15875" b="9525"/>
          <wp:docPr id="2" name="图片 1" descr="正荣公益标志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正荣公益标志横.jpg"/>
                  <pic:cNvPicPr>
                    <a:picLocks noChangeAspect="1"/>
                  </pic:cNvPicPr>
                </pic:nvPicPr>
                <pic:blipFill>
                  <a:blip r:embed="rId1"/>
                  <a:stretch>
                    <a:fillRect/>
                  </a:stretch>
                </pic:blipFill>
                <pic:spPr>
                  <a:xfrm>
                    <a:off x="0" y="0"/>
                    <a:ext cx="1089293" cy="3143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611"/>
    <w:multiLevelType w:val="multilevel"/>
    <w:tmpl w:val="2B440611"/>
    <w:lvl w:ilvl="0" w:tentative="0">
      <w:start w:val="6"/>
      <w:numFmt w:val="japaneseCounting"/>
      <w:lvlText w:val="第%1章"/>
      <w:lvlJc w:val="left"/>
      <w:pPr>
        <w:ind w:left="765" w:hanging="765"/>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8978D4"/>
    <w:multiLevelType w:val="multilevel"/>
    <w:tmpl w:val="358978D4"/>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7FF6157"/>
    <w:multiLevelType w:val="multilevel"/>
    <w:tmpl w:val="37FF6157"/>
    <w:lvl w:ilvl="0" w:tentative="0">
      <w:start w:val="3"/>
      <w:numFmt w:val="japaneseCounting"/>
      <w:lvlText w:val="（%1）"/>
      <w:lvlJc w:val="left"/>
      <w:pPr>
        <w:ind w:left="1200" w:hanging="720"/>
      </w:pPr>
      <w:rPr>
        <w:rFonts w:hint="default"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A0C13AB"/>
    <w:multiLevelType w:val="multilevel"/>
    <w:tmpl w:val="3A0C13AB"/>
    <w:lvl w:ilvl="0" w:tentative="0">
      <w:start w:val="1"/>
      <w:numFmt w:val="japaneseCounting"/>
      <w:lvlText w:val="第%1章"/>
      <w:lvlJc w:val="left"/>
      <w:pPr>
        <w:ind w:left="885" w:hanging="885"/>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3EAE"/>
    <w:rsid w:val="00016CB9"/>
    <w:rsid w:val="00073EE4"/>
    <w:rsid w:val="000E129B"/>
    <w:rsid w:val="0018083E"/>
    <w:rsid w:val="0019160A"/>
    <w:rsid w:val="001A65A0"/>
    <w:rsid w:val="001E254B"/>
    <w:rsid w:val="001E7E75"/>
    <w:rsid w:val="001F417D"/>
    <w:rsid w:val="001F7FCB"/>
    <w:rsid w:val="00200872"/>
    <w:rsid w:val="00202E45"/>
    <w:rsid w:val="00214E3A"/>
    <w:rsid w:val="00225638"/>
    <w:rsid w:val="00286E5E"/>
    <w:rsid w:val="002930EA"/>
    <w:rsid w:val="002936E3"/>
    <w:rsid w:val="0029440A"/>
    <w:rsid w:val="002A3EAE"/>
    <w:rsid w:val="002B6513"/>
    <w:rsid w:val="002C7A0B"/>
    <w:rsid w:val="002D7C25"/>
    <w:rsid w:val="002E50D3"/>
    <w:rsid w:val="00325676"/>
    <w:rsid w:val="00342CCB"/>
    <w:rsid w:val="003510FC"/>
    <w:rsid w:val="00393CDE"/>
    <w:rsid w:val="00394E57"/>
    <w:rsid w:val="00397531"/>
    <w:rsid w:val="003C538C"/>
    <w:rsid w:val="003C5A8F"/>
    <w:rsid w:val="003C7493"/>
    <w:rsid w:val="003C7BEF"/>
    <w:rsid w:val="003F1D91"/>
    <w:rsid w:val="003F5202"/>
    <w:rsid w:val="00400C8F"/>
    <w:rsid w:val="00411CFA"/>
    <w:rsid w:val="0043683B"/>
    <w:rsid w:val="00473A09"/>
    <w:rsid w:val="00485A3F"/>
    <w:rsid w:val="00494AD6"/>
    <w:rsid w:val="004E4B53"/>
    <w:rsid w:val="00503B81"/>
    <w:rsid w:val="00504173"/>
    <w:rsid w:val="00504DCD"/>
    <w:rsid w:val="0052766B"/>
    <w:rsid w:val="005308C6"/>
    <w:rsid w:val="005A3DDB"/>
    <w:rsid w:val="005F0107"/>
    <w:rsid w:val="006023FC"/>
    <w:rsid w:val="00647D66"/>
    <w:rsid w:val="00662056"/>
    <w:rsid w:val="00681C80"/>
    <w:rsid w:val="006945A4"/>
    <w:rsid w:val="006B3A1D"/>
    <w:rsid w:val="006B7C2A"/>
    <w:rsid w:val="006D0279"/>
    <w:rsid w:val="006E0863"/>
    <w:rsid w:val="006E3FA7"/>
    <w:rsid w:val="0071213E"/>
    <w:rsid w:val="00727409"/>
    <w:rsid w:val="00762B70"/>
    <w:rsid w:val="00765F1C"/>
    <w:rsid w:val="00797FF4"/>
    <w:rsid w:val="007B0249"/>
    <w:rsid w:val="008007F5"/>
    <w:rsid w:val="008320F8"/>
    <w:rsid w:val="0084530B"/>
    <w:rsid w:val="00861FC6"/>
    <w:rsid w:val="008C13C3"/>
    <w:rsid w:val="008D18AF"/>
    <w:rsid w:val="008F2019"/>
    <w:rsid w:val="008F2166"/>
    <w:rsid w:val="0091069B"/>
    <w:rsid w:val="009540D7"/>
    <w:rsid w:val="00964763"/>
    <w:rsid w:val="00986ADB"/>
    <w:rsid w:val="009A67C7"/>
    <w:rsid w:val="009A7A02"/>
    <w:rsid w:val="009C2E4B"/>
    <w:rsid w:val="009F79E3"/>
    <w:rsid w:val="00A00E0B"/>
    <w:rsid w:val="00A039CD"/>
    <w:rsid w:val="00A32F4B"/>
    <w:rsid w:val="00A64F26"/>
    <w:rsid w:val="00AB2CBA"/>
    <w:rsid w:val="00AF70B3"/>
    <w:rsid w:val="00B14D3C"/>
    <w:rsid w:val="00B202E2"/>
    <w:rsid w:val="00B22014"/>
    <w:rsid w:val="00B465C7"/>
    <w:rsid w:val="00B96E09"/>
    <w:rsid w:val="00C04005"/>
    <w:rsid w:val="00C33775"/>
    <w:rsid w:val="00C36E90"/>
    <w:rsid w:val="00C55F6B"/>
    <w:rsid w:val="00C710CB"/>
    <w:rsid w:val="00C914EC"/>
    <w:rsid w:val="00CB5519"/>
    <w:rsid w:val="00CD1628"/>
    <w:rsid w:val="00D25DE6"/>
    <w:rsid w:val="00D33BBF"/>
    <w:rsid w:val="00D37E12"/>
    <w:rsid w:val="00D403E5"/>
    <w:rsid w:val="00D92D1B"/>
    <w:rsid w:val="00D92FB3"/>
    <w:rsid w:val="00DA0211"/>
    <w:rsid w:val="00DA4964"/>
    <w:rsid w:val="00E0229D"/>
    <w:rsid w:val="00E1129A"/>
    <w:rsid w:val="00E12693"/>
    <w:rsid w:val="00E1758D"/>
    <w:rsid w:val="00E36475"/>
    <w:rsid w:val="00E90F6B"/>
    <w:rsid w:val="00EC46AE"/>
    <w:rsid w:val="00EE5DF9"/>
    <w:rsid w:val="00EF5470"/>
    <w:rsid w:val="00F01C7C"/>
    <w:rsid w:val="00F44827"/>
    <w:rsid w:val="00F50974"/>
    <w:rsid w:val="00F60006"/>
    <w:rsid w:val="00FA6FDD"/>
    <w:rsid w:val="00FB209A"/>
    <w:rsid w:val="00FB2CCD"/>
    <w:rsid w:val="00FC668F"/>
    <w:rsid w:val="00FD05F3"/>
    <w:rsid w:val="00FD3913"/>
    <w:rsid w:val="00FF31C3"/>
    <w:rsid w:val="1BD666B1"/>
    <w:rsid w:val="1CBC24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rFonts w:asciiTheme="minorHAnsi" w:hAnsiTheme="minorHAnsi" w:eastAsiaTheme="minorEastAsia" w:cstheme="minorBidi"/>
      <w:b/>
      <w:bCs/>
      <w:szCs w:val="2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文字 Char"/>
    <w:basedOn w:val="8"/>
    <w:link w:val="2"/>
    <w:semiHidden/>
    <w:qFormat/>
    <w:uiPriority w:val="99"/>
    <w:rPr>
      <w:rFonts w:ascii="Times New Roman" w:hAnsi="Times New Roman" w:eastAsia="宋体" w:cs="Times New Roman"/>
      <w:szCs w:val="24"/>
    </w:rPr>
  </w:style>
  <w:style w:type="character" w:customStyle="1" w:styleId="13">
    <w:name w:val="批注框文本 Char"/>
    <w:basedOn w:val="8"/>
    <w:link w:val="3"/>
    <w:semiHidden/>
    <w:qFormat/>
    <w:uiPriority w:val="99"/>
    <w:rPr>
      <w:sz w:val="18"/>
      <w:szCs w:val="18"/>
    </w:rPr>
  </w:style>
  <w:style w:type="character" w:customStyle="1" w:styleId="14">
    <w:name w:val="批注主题 Char"/>
    <w:basedOn w:val="12"/>
    <w:link w:val="6"/>
    <w:semiHidden/>
    <w:qFormat/>
    <w:uiPriority w:val="99"/>
    <w:rPr>
      <w:rFonts w:ascii="Times New Roman" w:hAnsi="Times New Roman" w:eastAsia="宋体" w:cs="Times New Roman"/>
      <w:b/>
      <w:bCs/>
      <w:szCs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ABF1A-C629-4117-BFDC-99735AC6EF70}">
  <ds:schemaRefs/>
</ds:datastoreItem>
</file>

<file path=docProps/app.xml><?xml version="1.0" encoding="utf-8"?>
<Properties xmlns="http://schemas.openxmlformats.org/officeDocument/2006/extended-properties" xmlns:vt="http://schemas.openxmlformats.org/officeDocument/2006/docPropsVTypes">
  <Template>Normal</Template>
  <Pages>7</Pages>
  <Words>544</Words>
  <Characters>3106</Characters>
  <Lines>25</Lines>
  <Paragraphs>7</Paragraphs>
  <TotalTime>0</TotalTime>
  <ScaleCrop>false</ScaleCrop>
  <LinksUpToDate>false</LinksUpToDate>
  <CharactersWithSpaces>3643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2013-11-13T08:28:00Z</dcterms:created>
  <dc:creator>mark</dc:creator>
  <cp:lastModifiedBy>Administrator</cp:lastModifiedBy>
  <cp:lastPrinted>2013-11-09T09:41:00Z</cp:lastPrinted>
  <dcterms:modified xsi:type="dcterms:W3CDTF">2019-09-04T05:29:54Z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