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正荣公益基金会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票据管理规定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总则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第一条 </w:t>
      </w:r>
      <w:r>
        <w:rPr>
          <w:rFonts w:hint="eastAsia" w:ascii="宋体" w:hAnsi="宋体" w:eastAsia="宋体" w:cs="宋体"/>
          <w:sz w:val="24"/>
          <w:szCs w:val="24"/>
        </w:rPr>
        <w:t>为规范基金会财务管理、防范资金风险，根据国家有关法律法规和基金会的实际情况，制定本管理规定。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第二条 </w:t>
      </w:r>
      <w:r>
        <w:rPr>
          <w:rFonts w:hint="eastAsia" w:ascii="宋体" w:hAnsi="宋体" w:eastAsia="宋体" w:cs="宋体"/>
          <w:sz w:val="24"/>
          <w:szCs w:val="24"/>
        </w:rPr>
        <w:t>本规定所指票据：是指具有固定格式，填列相关内容之后具有法律效力及经济责任的各种票据，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包含银行票据（</w:t>
      </w:r>
      <w:r>
        <w:rPr>
          <w:rFonts w:hint="eastAsia" w:ascii="宋体" w:hAnsi="宋体" w:eastAsia="宋体" w:cs="宋体"/>
          <w:sz w:val="24"/>
          <w:szCs w:val="24"/>
        </w:rPr>
        <w:t>支票、电汇凭证）、财务收款收据、公益捐赠收据等。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第三条</w:t>
      </w:r>
      <w:r>
        <w:rPr>
          <w:rFonts w:hint="eastAsia" w:ascii="宋体" w:hAnsi="宋体" w:eastAsia="宋体" w:cs="宋体"/>
          <w:sz w:val="24"/>
          <w:szCs w:val="24"/>
        </w:rPr>
        <w:t xml:space="preserve"> 本规定内容包含票据的购买、保管与销毁、使用及相关管理责任。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空白票据的购买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第四条</w:t>
      </w:r>
      <w:r>
        <w:rPr>
          <w:rFonts w:hint="eastAsia" w:ascii="宋体" w:hAnsi="宋体" w:eastAsia="宋体" w:cs="宋体"/>
          <w:sz w:val="24"/>
          <w:szCs w:val="24"/>
        </w:rPr>
        <w:t xml:space="preserve"> 购买银行票据及收款收据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由出纳按实际情况自行购买。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第五条 </w:t>
      </w:r>
      <w:r>
        <w:rPr>
          <w:rFonts w:hint="eastAsia" w:ascii="宋体" w:hAnsi="宋体" w:eastAsia="宋体" w:cs="宋体"/>
          <w:sz w:val="24"/>
          <w:szCs w:val="24"/>
        </w:rPr>
        <w:t>购买公益捐赠收据时由会计申请并经办，财务负责人、秘书长审批，严防个人私自购买公益捐赠收据。所有收据购买事宜均由会计在《公益捐赠收据购买登记簿》上序时登记，所购买收据种类、数量由相关人员签名确认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第六条</w:t>
      </w:r>
      <w:r>
        <w:rPr>
          <w:rFonts w:hint="eastAsia" w:ascii="宋体" w:hAnsi="宋体" w:eastAsia="宋体" w:cs="宋体"/>
          <w:sz w:val="24"/>
          <w:szCs w:val="24"/>
        </w:rPr>
        <w:t xml:space="preserve"> 《公益捐赠收据购买登记簿》的格式：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7"/>
        <w:tblW w:w="8004" w:type="dxa"/>
        <w:jc w:val="center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1"/>
        <w:gridCol w:w="1000"/>
        <w:gridCol w:w="1001"/>
        <w:gridCol w:w="1000"/>
        <w:gridCol w:w="1001"/>
        <w:gridCol w:w="1000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836" w:hRule="atLeast"/>
          <w:jc w:val="center"/>
        </w:trPr>
        <w:tc>
          <w:tcPr>
            <w:tcW w:w="1000" w:type="dxa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001" w:type="dxa"/>
            <w:textDirection w:val="tbRlV"/>
          </w:tcPr>
          <w:p>
            <w:pPr>
              <w:spacing w:line="360" w:lineRule="auto"/>
              <w:ind w:left="117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收据种类</w:t>
            </w:r>
          </w:p>
        </w:tc>
        <w:tc>
          <w:tcPr>
            <w:tcW w:w="1000" w:type="dxa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购买数量</w:t>
            </w:r>
          </w:p>
        </w:tc>
        <w:tc>
          <w:tcPr>
            <w:tcW w:w="1001" w:type="dxa"/>
            <w:textDirection w:val="tbRlV"/>
          </w:tcPr>
          <w:p>
            <w:pPr>
              <w:spacing w:line="360" w:lineRule="auto"/>
              <w:ind w:left="147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起止号码</w:t>
            </w:r>
          </w:p>
        </w:tc>
        <w:tc>
          <w:tcPr>
            <w:tcW w:w="1000" w:type="dxa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购买时间</w:t>
            </w:r>
          </w:p>
        </w:tc>
        <w:tc>
          <w:tcPr>
            <w:tcW w:w="1001" w:type="dxa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经办人签字</w:t>
            </w:r>
          </w:p>
        </w:tc>
        <w:tc>
          <w:tcPr>
            <w:tcW w:w="1000" w:type="dxa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审核人签字</w:t>
            </w:r>
          </w:p>
        </w:tc>
        <w:tc>
          <w:tcPr>
            <w:tcW w:w="1001" w:type="dxa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审批人签字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1" w:hRule="atLeast"/>
          <w:jc w:val="center"/>
        </w:trPr>
        <w:tc>
          <w:tcPr>
            <w:tcW w:w="1000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000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00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票据的保管与销毁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第七条</w:t>
      </w:r>
      <w:r>
        <w:rPr>
          <w:rFonts w:hint="eastAsia" w:ascii="宋体" w:hAnsi="宋体" w:eastAsia="宋体" w:cs="宋体"/>
          <w:sz w:val="24"/>
          <w:szCs w:val="24"/>
        </w:rPr>
        <w:t xml:space="preserve"> 空白票据保管：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1、空白票据由出纳负责保管。保管人应将票据放置保险柜或加锁密闭橱柜中，不得随意放置。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2、领用新本票据及空白票据使用完须核销归档时，均需填写《票据保管登记薄》。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3、《票据保管登记簿》格式如下：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7"/>
        <w:tblW w:w="9292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162"/>
        <w:gridCol w:w="1161"/>
        <w:gridCol w:w="1162"/>
        <w:gridCol w:w="1161"/>
        <w:gridCol w:w="1162"/>
        <w:gridCol w:w="1161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1161" w:type="dxa"/>
            <w:textDirection w:val="tbRlV"/>
            <w:vAlign w:val="center"/>
          </w:tcPr>
          <w:p>
            <w:pPr>
              <w:spacing w:line="360" w:lineRule="auto"/>
              <w:ind w:right="113"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162" w:type="dxa"/>
            <w:textDirection w:val="tbRlV"/>
            <w:vAlign w:val="center"/>
          </w:tcPr>
          <w:p>
            <w:pPr>
              <w:spacing w:line="360" w:lineRule="auto"/>
              <w:ind w:right="113"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票据种类</w:t>
            </w:r>
          </w:p>
        </w:tc>
        <w:tc>
          <w:tcPr>
            <w:tcW w:w="1161" w:type="dxa"/>
            <w:textDirection w:val="tbRlV"/>
            <w:vAlign w:val="center"/>
          </w:tcPr>
          <w:p>
            <w:pPr>
              <w:spacing w:line="360" w:lineRule="auto"/>
              <w:ind w:right="113"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票据编号</w:t>
            </w:r>
          </w:p>
        </w:tc>
        <w:tc>
          <w:tcPr>
            <w:tcW w:w="1162" w:type="dxa"/>
            <w:textDirection w:val="tbRlV"/>
            <w:vAlign w:val="center"/>
          </w:tcPr>
          <w:p>
            <w:pPr>
              <w:spacing w:line="360" w:lineRule="auto"/>
              <w:ind w:right="113"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领用数量</w:t>
            </w:r>
          </w:p>
        </w:tc>
        <w:tc>
          <w:tcPr>
            <w:tcW w:w="1161" w:type="dxa"/>
            <w:textDirection w:val="tbRlV"/>
            <w:vAlign w:val="center"/>
          </w:tcPr>
          <w:p>
            <w:pPr>
              <w:spacing w:line="360" w:lineRule="auto"/>
              <w:ind w:right="113"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领用时间</w:t>
            </w:r>
          </w:p>
        </w:tc>
        <w:tc>
          <w:tcPr>
            <w:tcW w:w="1162" w:type="dxa"/>
            <w:textDirection w:val="tbRlV"/>
            <w:vAlign w:val="center"/>
          </w:tcPr>
          <w:p>
            <w:pPr>
              <w:spacing w:line="360" w:lineRule="auto"/>
              <w:ind w:right="113"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领用人签名</w:t>
            </w:r>
          </w:p>
        </w:tc>
        <w:tc>
          <w:tcPr>
            <w:tcW w:w="1161" w:type="dxa"/>
            <w:textDirection w:val="tbRlV"/>
            <w:vAlign w:val="center"/>
          </w:tcPr>
          <w:p>
            <w:pPr>
              <w:spacing w:line="360" w:lineRule="auto"/>
              <w:ind w:right="113"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核销归档时间</w:t>
            </w:r>
          </w:p>
        </w:tc>
        <w:tc>
          <w:tcPr>
            <w:tcW w:w="1162" w:type="dxa"/>
            <w:textDirection w:val="tbRlV"/>
            <w:vAlign w:val="center"/>
          </w:tcPr>
          <w:p>
            <w:pPr>
              <w:spacing w:line="360" w:lineRule="auto"/>
              <w:ind w:right="113"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核销人员签名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1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60" w:lineRule="auto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auto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60" w:lineRule="auto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1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1" w:type="dxa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1" w:type="dxa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>
            <w:pPr>
              <w:spacing w:line="360" w:lineRule="auto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1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1" w:type="dxa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1" w:type="dxa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>
            <w:pPr>
              <w:spacing w:line="360" w:lineRule="auto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ind w:firstLine="482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第八条</w:t>
      </w:r>
      <w:r>
        <w:rPr>
          <w:rFonts w:hint="eastAsia" w:ascii="宋体" w:hAnsi="宋体" w:eastAsia="宋体" w:cs="宋体"/>
          <w:sz w:val="24"/>
          <w:szCs w:val="24"/>
        </w:rPr>
        <w:t xml:space="preserve"> 票据保管人变更：空白票据保管人发生变更，需作交接登记。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1、票据保管人因休假或其他原因可能影响票据使用时，可将空白票据移交给基金会指定的人员保管。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2、票据保管人离职或岗位调动时，空白票据及相关购买、保管登记资料移交接手人。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3、基金会应设置《空白票据交接登记簿》格式如下：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7"/>
        <w:tblW w:w="8932" w:type="dxa"/>
        <w:jc w:val="center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117"/>
        <w:gridCol w:w="1116"/>
        <w:gridCol w:w="1117"/>
        <w:gridCol w:w="1116"/>
        <w:gridCol w:w="1117"/>
        <w:gridCol w:w="1116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1116" w:type="dxa"/>
            <w:textDirection w:val="tbRlV"/>
          </w:tcPr>
          <w:p>
            <w:pPr>
              <w:spacing w:line="360" w:lineRule="auto"/>
              <w:ind w:left="113" w:leftChars="54" w:right="113"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117" w:type="dxa"/>
            <w:textDirection w:val="tbRlV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移交时间</w:t>
            </w:r>
          </w:p>
        </w:tc>
        <w:tc>
          <w:tcPr>
            <w:tcW w:w="1116" w:type="dxa"/>
            <w:textDirection w:val="tbRlV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票据类别</w:t>
            </w:r>
          </w:p>
        </w:tc>
        <w:tc>
          <w:tcPr>
            <w:tcW w:w="1117" w:type="dxa"/>
            <w:textDirection w:val="tbRlV"/>
          </w:tcPr>
          <w:p>
            <w:pPr>
              <w:spacing w:line="360" w:lineRule="auto"/>
              <w:ind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票据号码</w:t>
            </w:r>
          </w:p>
        </w:tc>
        <w:tc>
          <w:tcPr>
            <w:tcW w:w="1116" w:type="dxa"/>
            <w:textDirection w:val="tbRlV"/>
          </w:tcPr>
          <w:p>
            <w:pPr>
              <w:spacing w:line="360" w:lineRule="auto"/>
              <w:ind w:left="113" w:leftChars="54" w:right="113"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1117" w:type="dxa"/>
            <w:textDirection w:val="tbRlV"/>
          </w:tcPr>
          <w:p>
            <w:pPr>
              <w:spacing w:line="360" w:lineRule="auto"/>
              <w:ind w:left="113" w:leftChars="54" w:right="113"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移交人</w:t>
            </w:r>
          </w:p>
        </w:tc>
        <w:tc>
          <w:tcPr>
            <w:tcW w:w="1116" w:type="dxa"/>
            <w:textDirection w:val="tbRlV"/>
          </w:tcPr>
          <w:p>
            <w:pPr>
              <w:spacing w:line="360" w:lineRule="auto"/>
              <w:ind w:left="113" w:leftChars="54" w:right="113"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接交人</w:t>
            </w:r>
          </w:p>
        </w:tc>
        <w:tc>
          <w:tcPr>
            <w:tcW w:w="1117" w:type="dxa"/>
            <w:textDirection w:val="tbRlV"/>
          </w:tcPr>
          <w:p>
            <w:pPr>
              <w:spacing w:line="360" w:lineRule="auto"/>
              <w:ind w:left="113" w:leftChars="54" w:right="113"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监交人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16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6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6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6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16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6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6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6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16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6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6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6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第九条</w:t>
      </w:r>
      <w:r>
        <w:rPr>
          <w:rFonts w:hint="eastAsia" w:ascii="宋体" w:hAnsi="宋体" w:eastAsia="宋体" w:cs="宋体"/>
          <w:sz w:val="24"/>
          <w:szCs w:val="24"/>
        </w:rPr>
        <w:t xml:space="preserve"> 《空白票据交接登记簿》、《公益捐赠收据购买登记簿》、《票据保管登记簿》由会计保管，并按会计档案管理要求，使用完毕后归档保管，保管期满后申请销毁。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第十条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票据销毁期限参见</w:t>
      </w:r>
      <w:r>
        <w:rPr>
          <w:rFonts w:hint="eastAsia" w:ascii="宋体" w:hAnsi="宋体" w:eastAsia="宋体" w:cs="宋体"/>
          <w:sz w:val="24"/>
          <w:szCs w:val="24"/>
        </w:rPr>
        <w:t>《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会计档案管理规定</w:t>
      </w:r>
      <w:r>
        <w:rPr>
          <w:rFonts w:hint="eastAsia" w:ascii="宋体" w:hAnsi="宋体" w:eastAsia="宋体" w:cs="宋体"/>
          <w:sz w:val="24"/>
          <w:szCs w:val="24"/>
        </w:rPr>
        <w:t>》。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 xml:space="preserve"> 票据的使用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  <w:t>第十一条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 xml:space="preserve"> 银行票据使用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1、银行票据由出纳填写，票据要素必须填写完整，包括支付金额、付款银行、出票日期、收款人、用途、大小写金额一致等，票据存根上的要素填写也要齐全。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2、禁止出具空白金额的银行票据，确因业务需要必须领取限额票据，必须由两个经办人经办，并在票据存根上签字。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第十二条</w:t>
      </w:r>
      <w:r>
        <w:rPr>
          <w:rFonts w:hint="eastAsia" w:ascii="宋体" w:hAnsi="宋体" w:eastAsia="宋体" w:cs="宋体"/>
          <w:sz w:val="24"/>
          <w:szCs w:val="24"/>
        </w:rPr>
        <w:t xml:space="preserve"> 收款收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据</w:t>
      </w:r>
      <w:r>
        <w:rPr>
          <w:rFonts w:hint="eastAsia" w:ascii="宋体" w:hAnsi="宋体" w:eastAsia="宋体" w:cs="宋体"/>
          <w:sz w:val="24"/>
          <w:szCs w:val="24"/>
        </w:rPr>
        <w:t>使用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1、现金收据必须使用一式三联复写并有收据编号的统一印制收据，收据联给交款人，记账联交由财务作账务处理。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2、收据必须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由出纳填写</w:t>
      </w:r>
      <w:r>
        <w:rPr>
          <w:rFonts w:hint="eastAsia" w:ascii="宋体" w:hAnsi="宋体" w:eastAsia="宋体" w:cs="宋体"/>
          <w:sz w:val="24"/>
          <w:szCs w:val="24"/>
        </w:rPr>
        <w:t>，不得交由他人填写。收据存根联必须作为会计档案资料留存，出纳人员不得自行销毁。收据不得有涂改，如有作废，必须一式三联齐全。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3、收据必须按编号顺序使用，原则上一本收据未使用完毕，不得启用另外一本。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4、公司出纳使用收款收据前不得预先盖好财务专用章。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5、不得使用空白纸张手写或打印的收款收据。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第十三条 </w:t>
      </w:r>
      <w:r>
        <w:rPr>
          <w:rFonts w:hint="eastAsia" w:ascii="宋体" w:hAnsi="宋体" w:eastAsia="宋体" w:cs="宋体"/>
          <w:sz w:val="24"/>
          <w:szCs w:val="24"/>
        </w:rPr>
        <w:t>发票使用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项目经办人填写开据公益捐赠收据申请单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发票由出纳或指定会计人员开具。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2、公益捐赠收据的填列事项须完整，不得开具空白收票人发票、空白金额发票、与实际内容不符的发票。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第十四条</w:t>
      </w:r>
      <w:r>
        <w:rPr>
          <w:rFonts w:hint="eastAsia" w:ascii="宋体" w:hAnsi="宋体" w:eastAsia="宋体" w:cs="宋体"/>
          <w:sz w:val="24"/>
          <w:szCs w:val="24"/>
        </w:rPr>
        <w:t xml:space="preserve"> 票据审核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1、财务专用章、发票专用章保管人与票据开票人不得为同一人，印章保管人应审核票据或票据申请表上的记载事项的真实性、正确性、完整性，审核无误后加盖印章。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2、必须遵循先填列后审核再盖章的原则。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3、票据作废：对于填写错误的票据，必须加盖“作废”戳记连同存根一并保存。已登记入账的发票作废应在《发票领用登记簿》上注明该张发票作废。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票据的管理责任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第十五条</w:t>
      </w:r>
      <w:r>
        <w:rPr>
          <w:rFonts w:hint="eastAsia" w:ascii="宋体" w:hAnsi="宋体" w:eastAsia="宋体" w:cs="宋体"/>
          <w:sz w:val="24"/>
          <w:szCs w:val="24"/>
        </w:rPr>
        <w:t xml:space="preserve"> 票据保管人责任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票据保管人负责票据安全，因个人保管不善导致票据丢失、损毁，给基金会造成经济损失的，由保管人赔偿经济损失，并要对其加强教育，必要时可将其调离岗位或解聘。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第十六条</w:t>
      </w:r>
      <w:r>
        <w:rPr>
          <w:rFonts w:hint="eastAsia" w:ascii="宋体" w:hAnsi="宋体" w:eastAsia="宋体" w:cs="宋体"/>
          <w:sz w:val="24"/>
          <w:szCs w:val="24"/>
        </w:rPr>
        <w:t xml:space="preserve"> 票据丢失处理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因保管人保管不善或因其他原因造成票据丢失、损毁的，应在情况发生后的第一时间向财务负责人通报，涉及盗窃、抢劫等刑事案件的，应第一时间报警并保护好现场。即时通知出票银行，以防资金损失。如在一个工作日内追回的，应于次日在当地主流报纸等媒体上刊登遗失声明，及时作废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第十七条</w:t>
      </w:r>
      <w:r>
        <w:rPr>
          <w:rFonts w:hint="eastAsia" w:ascii="宋体" w:hAnsi="宋体" w:eastAsia="宋体" w:cs="宋体"/>
          <w:sz w:val="24"/>
          <w:szCs w:val="24"/>
        </w:rPr>
        <w:t xml:space="preserve"> 票据管理责任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因票据使用人违反纪律，未经审批、审批手续不完整开具票据，应对其进行行政处分，给基金会造成经济损失的应赔偿相关损失，情节严重的追究其法律责任，票据审核人、财务负责人负连带管理责任，视情节轻重对其进行经济处罚与行政处分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81214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drawing>
        <wp:inline distT="0" distB="0" distL="0" distR="0">
          <wp:extent cx="1089025" cy="314325"/>
          <wp:effectExtent l="0" t="0" r="15875" b="9525"/>
          <wp:docPr id="2" name="图片 1" descr="正荣公益标志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正荣公益标志横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9293" cy="314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7E2"/>
    <w:multiLevelType w:val="multilevel"/>
    <w:tmpl w:val="22B117E2"/>
    <w:lvl w:ilvl="0" w:tentative="0">
      <w:start w:val="1"/>
      <w:numFmt w:val="japaneseCounting"/>
      <w:lvlText w:val="第%1章"/>
      <w:lvlJc w:val="left"/>
      <w:pPr>
        <w:ind w:left="885" w:hanging="8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7AC8"/>
    <w:rsid w:val="000012D4"/>
    <w:rsid w:val="000531B3"/>
    <w:rsid w:val="000E129B"/>
    <w:rsid w:val="000E407D"/>
    <w:rsid w:val="00122146"/>
    <w:rsid w:val="00146513"/>
    <w:rsid w:val="00171B60"/>
    <w:rsid w:val="0018083E"/>
    <w:rsid w:val="0019160A"/>
    <w:rsid w:val="001A65A0"/>
    <w:rsid w:val="001E62C8"/>
    <w:rsid w:val="002157E1"/>
    <w:rsid w:val="0028500A"/>
    <w:rsid w:val="00287F2B"/>
    <w:rsid w:val="002A3E0C"/>
    <w:rsid w:val="002D17C5"/>
    <w:rsid w:val="002E33BB"/>
    <w:rsid w:val="00325676"/>
    <w:rsid w:val="00342CCB"/>
    <w:rsid w:val="00395CAA"/>
    <w:rsid w:val="0039626A"/>
    <w:rsid w:val="00396416"/>
    <w:rsid w:val="00397531"/>
    <w:rsid w:val="003C5A8F"/>
    <w:rsid w:val="00411CFA"/>
    <w:rsid w:val="00413BE8"/>
    <w:rsid w:val="00417586"/>
    <w:rsid w:val="0043683B"/>
    <w:rsid w:val="0046068F"/>
    <w:rsid w:val="004703FA"/>
    <w:rsid w:val="0047479F"/>
    <w:rsid w:val="0049076E"/>
    <w:rsid w:val="004B6C9F"/>
    <w:rsid w:val="004E60D6"/>
    <w:rsid w:val="00504DCD"/>
    <w:rsid w:val="00510968"/>
    <w:rsid w:val="0052042B"/>
    <w:rsid w:val="00543199"/>
    <w:rsid w:val="005813CF"/>
    <w:rsid w:val="005E5575"/>
    <w:rsid w:val="00604622"/>
    <w:rsid w:val="00692B41"/>
    <w:rsid w:val="006B3A1D"/>
    <w:rsid w:val="007454D3"/>
    <w:rsid w:val="00765F1C"/>
    <w:rsid w:val="00775953"/>
    <w:rsid w:val="007B0249"/>
    <w:rsid w:val="007D5BFC"/>
    <w:rsid w:val="008007F5"/>
    <w:rsid w:val="0080644C"/>
    <w:rsid w:val="008237D3"/>
    <w:rsid w:val="00854E3F"/>
    <w:rsid w:val="008C13C3"/>
    <w:rsid w:val="008D18AF"/>
    <w:rsid w:val="008F2166"/>
    <w:rsid w:val="008F7681"/>
    <w:rsid w:val="0090200B"/>
    <w:rsid w:val="009035FB"/>
    <w:rsid w:val="0095421C"/>
    <w:rsid w:val="009B1213"/>
    <w:rsid w:val="009B4A98"/>
    <w:rsid w:val="009C35B7"/>
    <w:rsid w:val="009D71A4"/>
    <w:rsid w:val="00A32F4B"/>
    <w:rsid w:val="00A64F26"/>
    <w:rsid w:val="00A715BA"/>
    <w:rsid w:val="00A72E36"/>
    <w:rsid w:val="00AC5A7E"/>
    <w:rsid w:val="00B33AA0"/>
    <w:rsid w:val="00B409D6"/>
    <w:rsid w:val="00B87AC8"/>
    <w:rsid w:val="00BA157D"/>
    <w:rsid w:val="00BB6299"/>
    <w:rsid w:val="00BE0F2C"/>
    <w:rsid w:val="00C33775"/>
    <w:rsid w:val="00C710CB"/>
    <w:rsid w:val="00C914EC"/>
    <w:rsid w:val="00CB5519"/>
    <w:rsid w:val="00CC1329"/>
    <w:rsid w:val="00D27808"/>
    <w:rsid w:val="00D37E12"/>
    <w:rsid w:val="00D403E5"/>
    <w:rsid w:val="00D65F8A"/>
    <w:rsid w:val="00E0229D"/>
    <w:rsid w:val="00E42F0A"/>
    <w:rsid w:val="00EC20E8"/>
    <w:rsid w:val="00EC4EE9"/>
    <w:rsid w:val="00F01C7C"/>
    <w:rsid w:val="00F44827"/>
    <w:rsid w:val="00F945EA"/>
    <w:rsid w:val="00FA6FDD"/>
    <w:rsid w:val="00FB209A"/>
    <w:rsid w:val="00FC668F"/>
    <w:rsid w:val="00FD05F3"/>
    <w:rsid w:val="00FD3913"/>
    <w:rsid w:val="00FD74A1"/>
    <w:rsid w:val="00FF31C3"/>
    <w:rsid w:val="38AE556F"/>
    <w:rsid w:val="38D560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rFonts w:asciiTheme="minorHAnsi" w:hAnsiTheme="minorHAnsi" w:eastAsiaTheme="minorEastAsia" w:cstheme="minorBidi"/>
      <w:b/>
      <w:bCs/>
      <w:szCs w:val="22"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主题 Char"/>
    <w:basedOn w:val="10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288</Words>
  <Characters>1645</Characters>
  <Lines>13</Lines>
  <Paragraphs>3</Paragraphs>
  <TotalTime>0</TotalTime>
  <ScaleCrop>false</ScaleCrop>
  <LinksUpToDate>false</LinksUpToDate>
  <CharactersWithSpaces>1930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2013-11-05T01:45:00Z</dcterms:created>
  <dc:creator>mark</dc:creator>
  <cp:lastModifiedBy>Administrator</cp:lastModifiedBy>
  <cp:lastPrinted>2013-11-09T09:43:00Z</cp:lastPrinted>
  <dcterms:modified xsi:type="dcterms:W3CDTF">2019-09-04T05:30:25Z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